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B6" w:rsidRPr="00FB45B1" w:rsidRDefault="00A357B6" w:rsidP="00A357B6">
      <w:pPr>
        <w:spacing w:line="240" w:lineRule="auto"/>
        <w:jc w:val="center"/>
        <w:rPr>
          <w:rFonts w:eastAsia="Times New Roman"/>
          <w:szCs w:val="24"/>
          <w:lang w:eastAsia="es-CO"/>
        </w:rPr>
      </w:pPr>
      <w:r w:rsidRPr="00FB45B1">
        <w:rPr>
          <w:rFonts w:eastAsia="Times New Roman"/>
          <w:b/>
          <w:bCs/>
          <w:szCs w:val="24"/>
          <w:lang w:eastAsia="es-CO"/>
        </w:rPr>
        <w:t>OFICIO N° 077904</w:t>
      </w:r>
    </w:p>
    <w:p w:rsidR="00A357B6" w:rsidRPr="00FB45B1" w:rsidRDefault="00A357B6" w:rsidP="00A357B6">
      <w:pPr>
        <w:spacing w:line="240" w:lineRule="auto"/>
        <w:jc w:val="center"/>
        <w:rPr>
          <w:rFonts w:eastAsia="Times New Roman"/>
          <w:szCs w:val="24"/>
          <w:lang w:eastAsia="es-CO"/>
        </w:rPr>
      </w:pPr>
      <w:r w:rsidRPr="00FB45B1">
        <w:rPr>
          <w:rFonts w:eastAsia="Times New Roman"/>
          <w:b/>
          <w:bCs/>
          <w:szCs w:val="24"/>
          <w:lang w:eastAsia="es-CO"/>
        </w:rPr>
        <w:t>04-12-2013</w:t>
      </w:r>
    </w:p>
    <w:p w:rsidR="00A357B6" w:rsidRPr="00FB45B1" w:rsidRDefault="00A357B6" w:rsidP="00A357B6">
      <w:pPr>
        <w:spacing w:line="240" w:lineRule="auto"/>
        <w:jc w:val="center"/>
        <w:rPr>
          <w:rFonts w:eastAsia="Times New Roman"/>
          <w:szCs w:val="24"/>
          <w:lang w:eastAsia="es-CO"/>
        </w:rPr>
      </w:pPr>
      <w:r w:rsidRPr="00FB45B1">
        <w:rPr>
          <w:rFonts w:eastAsia="Times New Roman"/>
          <w:b/>
          <w:bCs/>
          <w:szCs w:val="24"/>
          <w:lang w:eastAsia="es-CO"/>
        </w:rPr>
        <w:t>DIAN</w:t>
      </w:r>
    </w:p>
    <w:p w:rsidR="00A357B6" w:rsidRPr="00FB45B1" w:rsidRDefault="00A357B6" w:rsidP="00A357B6">
      <w:pPr>
        <w:spacing w:line="240" w:lineRule="auto"/>
        <w:rPr>
          <w:rFonts w:eastAsia="Times New Roman"/>
          <w:szCs w:val="24"/>
          <w:lang w:eastAsia="es-CO"/>
        </w:rPr>
      </w:pPr>
      <w:r w:rsidRPr="00FB45B1">
        <w:rPr>
          <w:rFonts w:eastAsia="Times New Roman"/>
          <w:b/>
          <w:bCs/>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b/>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bCs/>
          <w:szCs w:val="24"/>
          <w:lang w:eastAsia="es-CO"/>
        </w:rPr>
        <w:t>Subdirección de Gestión Normativa y Doctrina</w:t>
      </w:r>
    </w:p>
    <w:p w:rsidR="00A357B6" w:rsidRPr="00FB45B1" w:rsidRDefault="00A357B6" w:rsidP="00A357B6">
      <w:pPr>
        <w:spacing w:line="240" w:lineRule="auto"/>
        <w:rPr>
          <w:rFonts w:eastAsia="Times New Roman"/>
          <w:szCs w:val="24"/>
          <w:lang w:eastAsia="es-CO"/>
        </w:rPr>
      </w:pPr>
      <w:r w:rsidRPr="00FB45B1">
        <w:rPr>
          <w:rFonts w:eastAsia="Times New Roman"/>
          <w:bCs/>
          <w:szCs w:val="24"/>
          <w:lang w:eastAsia="es-CO"/>
        </w:rPr>
        <w:t>POSTEXPRESS</w:t>
      </w:r>
    </w:p>
    <w:p w:rsidR="00A357B6" w:rsidRPr="00FB45B1" w:rsidRDefault="00A357B6" w:rsidP="00A357B6">
      <w:pPr>
        <w:spacing w:line="240" w:lineRule="auto"/>
        <w:rPr>
          <w:rFonts w:eastAsia="Times New Roman"/>
          <w:szCs w:val="24"/>
          <w:lang w:eastAsia="es-CO"/>
        </w:rPr>
      </w:pPr>
      <w:r w:rsidRPr="00FB45B1">
        <w:rPr>
          <w:rFonts w:eastAsia="Times New Roman"/>
          <w:bCs/>
          <w:szCs w:val="24"/>
          <w:lang w:eastAsia="es-CO"/>
        </w:rPr>
        <w:t>Bogotá D.C.</w:t>
      </w:r>
    </w:p>
    <w:p w:rsidR="00A357B6" w:rsidRPr="00FB45B1" w:rsidRDefault="00A357B6" w:rsidP="00A357B6">
      <w:pPr>
        <w:spacing w:line="240" w:lineRule="auto"/>
        <w:rPr>
          <w:rFonts w:eastAsia="Times New Roman"/>
          <w:szCs w:val="24"/>
          <w:lang w:eastAsia="es-CO"/>
        </w:rPr>
      </w:pPr>
      <w:r w:rsidRPr="00FB45B1">
        <w:rPr>
          <w:rFonts w:eastAsia="Times New Roman"/>
          <w:bCs/>
          <w:szCs w:val="24"/>
          <w:lang w:eastAsia="es-CO"/>
        </w:rPr>
        <w:t>100208221- 001049</w:t>
      </w:r>
    </w:p>
    <w:p w:rsidR="00A357B6" w:rsidRPr="00FB45B1" w:rsidRDefault="00A357B6" w:rsidP="00A357B6">
      <w:pPr>
        <w:spacing w:line="240" w:lineRule="auto"/>
        <w:rPr>
          <w:rFonts w:eastAsia="Times New Roman"/>
          <w:szCs w:val="24"/>
          <w:lang w:eastAsia="es-CO"/>
        </w:rPr>
      </w:pPr>
      <w:r w:rsidRPr="00FB45B1">
        <w:rPr>
          <w:rFonts w:eastAsia="Times New Roman"/>
          <w:bCs/>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bCs/>
          <w:szCs w:val="24"/>
          <w:lang w:eastAsia="es-CO"/>
        </w:rPr>
        <w:t>Señor</w:t>
      </w:r>
    </w:p>
    <w:p w:rsidR="00A357B6" w:rsidRPr="00FB45B1" w:rsidRDefault="00A357B6" w:rsidP="00A357B6">
      <w:pPr>
        <w:spacing w:line="240" w:lineRule="auto"/>
        <w:rPr>
          <w:rFonts w:eastAsia="Times New Roman"/>
          <w:szCs w:val="24"/>
          <w:lang w:eastAsia="es-CO"/>
        </w:rPr>
      </w:pPr>
      <w:r w:rsidRPr="00FB45B1">
        <w:rPr>
          <w:rFonts w:eastAsia="Times New Roman"/>
          <w:b/>
          <w:bCs/>
          <w:szCs w:val="24"/>
          <w:lang w:eastAsia="es-CO"/>
        </w:rPr>
        <w:t>HOOVER DANILO MEJÍA ARCILA</w:t>
      </w:r>
    </w:p>
    <w:p w:rsidR="00A357B6" w:rsidRPr="00FB45B1" w:rsidRDefault="005744BF" w:rsidP="00A357B6">
      <w:pPr>
        <w:spacing w:line="240" w:lineRule="auto"/>
        <w:rPr>
          <w:rFonts w:eastAsia="Times New Roman"/>
          <w:szCs w:val="24"/>
          <w:lang w:eastAsia="es-CO"/>
        </w:rPr>
      </w:pPr>
      <w:hyperlink r:id="rId5" w:history="1">
        <w:r w:rsidR="00A357B6" w:rsidRPr="00FB45B1">
          <w:rPr>
            <w:rFonts w:eastAsia="Times New Roman"/>
            <w:bCs/>
            <w:szCs w:val="24"/>
            <w:u w:val="single"/>
            <w:lang w:eastAsia="es-CO"/>
          </w:rPr>
          <w:t>danilodosquebradas@hotmail.com</w:t>
        </w:r>
      </w:hyperlink>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Carrera 10 No. 26-52</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Pereira (Risaralda)</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b/>
          <w:szCs w:val="24"/>
          <w:lang w:eastAsia="es-CO"/>
        </w:rPr>
        <w:t xml:space="preserve">Ref.: </w:t>
      </w:r>
      <w:r w:rsidRPr="00FB45B1">
        <w:rPr>
          <w:rFonts w:eastAsia="Times New Roman"/>
          <w:szCs w:val="24"/>
          <w:lang w:eastAsia="es-CO"/>
        </w:rPr>
        <w:t>Radicado No. 5482 del 3 de diciembre de 2013</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b/>
          <w:bCs/>
          <w:szCs w:val="24"/>
          <w:lang w:eastAsia="es-CO"/>
        </w:rPr>
        <w:t xml:space="preserve">TEMA: </w:t>
      </w:r>
      <w:r w:rsidRPr="00FB45B1">
        <w:rPr>
          <w:rFonts w:eastAsia="Times New Roman"/>
          <w:szCs w:val="24"/>
          <w:lang w:eastAsia="es-CO"/>
        </w:rPr>
        <w:t>Retención en la fuente</w:t>
      </w:r>
    </w:p>
    <w:p w:rsidR="00A357B6" w:rsidRPr="00FB45B1" w:rsidRDefault="00A357B6" w:rsidP="00A357B6">
      <w:pPr>
        <w:spacing w:line="240" w:lineRule="auto"/>
        <w:rPr>
          <w:rFonts w:eastAsia="Times New Roman"/>
          <w:szCs w:val="24"/>
          <w:lang w:eastAsia="es-CO"/>
        </w:rPr>
      </w:pPr>
      <w:r w:rsidRPr="00FB45B1">
        <w:rPr>
          <w:rFonts w:eastAsia="Times New Roman"/>
          <w:b/>
          <w:bCs/>
          <w:szCs w:val="24"/>
          <w:lang w:eastAsia="es-CO"/>
        </w:rPr>
        <w:t xml:space="preserve">DESCRIPTORES: </w:t>
      </w:r>
      <w:r w:rsidRPr="00FB45B1">
        <w:rPr>
          <w:rFonts w:eastAsia="Times New Roman"/>
          <w:szCs w:val="24"/>
          <w:lang w:eastAsia="es-CO"/>
        </w:rPr>
        <w:t>Clasificación de las personas naturales.</w:t>
      </w:r>
    </w:p>
    <w:p w:rsidR="00A357B6" w:rsidRPr="00FB45B1" w:rsidRDefault="00A357B6" w:rsidP="00A357B6">
      <w:pPr>
        <w:spacing w:line="240" w:lineRule="auto"/>
        <w:rPr>
          <w:rFonts w:eastAsia="Times New Roman"/>
          <w:szCs w:val="24"/>
          <w:lang w:eastAsia="es-CO"/>
        </w:rPr>
      </w:pPr>
      <w:r w:rsidRPr="00FB45B1">
        <w:rPr>
          <w:rFonts w:eastAsia="Times New Roman"/>
          <w:b/>
          <w:bCs/>
          <w:szCs w:val="24"/>
          <w:lang w:eastAsia="es-CO"/>
        </w:rPr>
        <w:t xml:space="preserve">FUENTES FORMALES: </w:t>
      </w:r>
      <w:r w:rsidRPr="00FB45B1">
        <w:rPr>
          <w:rFonts w:eastAsia="Times New Roman"/>
          <w:szCs w:val="24"/>
          <w:lang w:eastAsia="es-CO"/>
        </w:rPr>
        <w:t xml:space="preserve">Estatuto Tributario, </w:t>
      </w:r>
      <w:hyperlink r:id="rId6" w:tooltip="Estatuto Tributario CETA" w:history="1">
        <w:r w:rsidRPr="00FB45B1">
          <w:rPr>
            <w:rFonts w:eastAsia="Times New Roman"/>
            <w:szCs w:val="24"/>
            <w:u w:val="single"/>
            <w:lang w:eastAsia="es-CO"/>
          </w:rPr>
          <w:t>art. 329</w:t>
        </w:r>
      </w:hyperlink>
      <w:r w:rsidRPr="00FB45B1">
        <w:rPr>
          <w:rFonts w:eastAsia="Times New Roman"/>
          <w:szCs w:val="24"/>
          <w:lang w:eastAsia="es-CO"/>
        </w:rPr>
        <w:t>; Decreto 3050 de 1997, art. 25; Decreto 1070 de 2013, art. 3</w:t>
      </w:r>
    </w:p>
    <w:p w:rsidR="00A357B6" w:rsidRPr="00FB45B1" w:rsidRDefault="00A357B6" w:rsidP="00A357B6">
      <w:pPr>
        <w:spacing w:line="240" w:lineRule="auto"/>
        <w:rPr>
          <w:rFonts w:eastAsia="Times New Roman"/>
          <w:szCs w:val="24"/>
          <w:lang w:eastAsia="es-CO"/>
        </w:rPr>
      </w:pPr>
    </w:p>
    <w:p w:rsidR="00A357B6" w:rsidRPr="00FB45B1" w:rsidRDefault="00A357B6" w:rsidP="00A357B6">
      <w:pPr>
        <w:spacing w:line="240" w:lineRule="auto"/>
        <w:rPr>
          <w:rFonts w:eastAsia="Times New Roman"/>
          <w:szCs w:val="24"/>
          <w:lang w:eastAsia="es-CO"/>
        </w:rPr>
      </w:pPr>
      <w:r w:rsidRPr="00FB45B1">
        <w:rPr>
          <w:rFonts w:eastAsia="Times New Roman"/>
          <w:bCs/>
          <w:szCs w:val="24"/>
          <w:lang w:eastAsia="es-CO"/>
        </w:rPr>
        <w:t>Atento saludo señor Mejía Arcila.</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De conformidad con el artículo 20 del Decreto 4048 de 2008 y la Orden Administrativa No. 000006 de 2009, es función de ésta Subdirección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Procede éste Despacho a dar contestación a los interrogantes por usted formulados y que fueron atendidos inicialmente por la Coordinación de Relatoría de ésta Subdirección con la doctrina vigente y aplicable a los mismos.</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xml:space="preserve">1. </w:t>
      </w:r>
      <w:r w:rsidRPr="00FB45B1">
        <w:rPr>
          <w:rFonts w:eastAsia="Times New Roman"/>
          <w:i/>
          <w:iCs/>
          <w:szCs w:val="24"/>
          <w:lang w:eastAsia="es-CO"/>
        </w:rPr>
        <w:t>“¿La relación de un abogado con una firma de colegas de otra ciudad, prestándoles servicios como dependiente judicial, es legal o reglamentaria?”</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xml:space="preserve">Conforme el </w:t>
      </w:r>
      <w:hyperlink r:id="rId7" w:tooltip="Estatuto Tributario CETA" w:history="1">
        <w:r w:rsidRPr="00FB45B1">
          <w:rPr>
            <w:rFonts w:eastAsia="Times New Roman"/>
            <w:szCs w:val="24"/>
            <w:u w:val="single"/>
            <w:lang w:eastAsia="es-CO"/>
          </w:rPr>
          <w:t>artículo 329</w:t>
        </w:r>
      </w:hyperlink>
      <w:r w:rsidRPr="00FB45B1">
        <w:rPr>
          <w:rFonts w:eastAsia="Times New Roman"/>
          <w:szCs w:val="24"/>
          <w:lang w:eastAsia="es-CO"/>
        </w:rPr>
        <w:t xml:space="preserve"> del Estatuto Tributario y el Oficio No. 017857 del 26 de marzo de 2013 – que le fuera suministrado en su momento – es clasificada bajo la categoría de empleado para efectos tributarios </w:t>
      </w:r>
      <w:r w:rsidRPr="00FB45B1">
        <w:rPr>
          <w:rFonts w:eastAsia="Times New Roman"/>
          <w:i/>
          <w:iCs/>
          <w:szCs w:val="24"/>
          <w:lang w:eastAsia="es-CO"/>
        </w:rPr>
        <w:t xml:space="preserve">“la persona natural residente en el país, cuyos ingresos provienen en un ochenta por ciento (80%) o más, de la prestación de servicios de manera personal o de la realización de una actividad económica por cuenta y riesgo del empleador o contratante, </w:t>
      </w:r>
      <w:r w:rsidRPr="00FB45B1">
        <w:rPr>
          <w:rFonts w:eastAsia="Times New Roman"/>
          <w:b/>
          <w:bCs/>
          <w:i/>
          <w:iCs/>
          <w:szCs w:val="24"/>
          <w:lang w:eastAsia="es-CO"/>
        </w:rPr>
        <w:t>mediante una vinculación laboral o legal y reglamentaria y/o de cualquier otra naturaleza, independientemente de su denominación</w:t>
      </w:r>
      <w:r w:rsidRPr="00FB45B1">
        <w:rPr>
          <w:rFonts w:eastAsia="Times New Roman"/>
          <w:i/>
          <w:iCs/>
          <w:szCs w:val="24"/>
          <w:lang w:eastAsia="es-CO"/>
        </w:rPr>
        <w:t xml:space="preserve">” </w:t>
      </w:r>
      <w:r w:rsidRPr="00FB45B1">
        <w:rPr>
          <w:rFonts w:eastAsia="Times New Roman"/>
          <w:szCs w:val="24"/>
          <w:lang w:eastAsia="es-CO"/>
        </w:rPr>
        <w:t xml:space="preserve">(negrilla fuera de texto), también aquellas que </w:t>
      </w:r>
      <w:r w:rsidRPr="00FB45B1">
        <w:rPr>
          <w:rFonts w:eastAsia="Times New Roman"/>
          <w:i/>
          <w:iCs/>
          <w:szCs w:val="24"/>
          <w:lang w:eastAsia="es-CO"/>
        </w:rPr>
        <w:t xml:space="preserve">“presten servicios en ejercicio de profesiones liberales o que presten </w:t>
      </w:r>
      <w:r w:rsidRPr="00FB45B1">
        <w:rPr>
          <w:rFonts w:eastAsia="Times New Roman"/>
          <w:i/>
          <w:iCs/>
          <w:szCs w:val="24"/>
          <w:lang w:eastAsia="es-CO"/>
        </w:rPr>
        <w:lastRenderedPageBreak/>
        <w:t>servicios técnicos que no requieran la utilización de materiales o insumos especializados o de maquinaria especializada, siempre que el ochenta por ciento (80%) o más de sus ingresos provengan del ejercicio de dicha actividad”</w:t>
      </w:r>
    </w:p>
    <w:p w:rsidR="00A357B6" w:rsidRPr="00FB45B1" w:rsidRDefault="00A357B6" w:rsidP="00A357B6">
      <w:pPr>
        <w:spacing w:line="240" w:lineRule="auto"/>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En otras palabras, y toda vez que la pregunta se orienta a conocer la clasificación de las personas naturales para el impuesto sobre la renta y complementarios, es indiferente el carácter de la vinculación, esto es, si es legal o reglamentaria.</w:t>
      </w:r>
    </w:p>
    <w:p w:rsidR="00A357B6" w:rsidRPr="00FB45B1" w:rsidRDefault="00A357B6" w:rsidP="00A357B6">
      <w:pPr>
        <w:spacing w:line="240" w:lineRule="auto"/>
        <w:rPr>
          <w:rFonts w:eastAsia="Times New Roman"/>
          <w:szCs w:val="24"/>
          <w:lang w:eastAsia="es-CO"/>
        </w:rPr>
      </w:pP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Por otra parte, mediante Oficio No. 013205 del 29 de febrero de 2013, se informó:</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xml:space="preserve">“En efecto, la Honorable Corte Constitucional mediante sentencia C-174 de 1997 se pronunció con ocasión del estudio de </w:t>
      </w:r>
      <w:proofErr w:type="spellStart"/>
      <w:r w:rsidRPr="00FB45B1">
        <w:rPr>
          <w:rFonts w:eastAsia="Times New Roman"/>
          <w:i/>
          <w:iCs/>
          <w:szCs w:val="24"/>
          <w:lang w:eastAsia="es-CO"/>
        </w:rPr>
        <w:t>exequibilidad</w:t>
      </w:r>
      <w:proofErr w:type="spellEnd"/>
      <w:r w:rsidRPr="00FB45B1">
        <w:rPr>
          <w:rFonts w:eastAsia="Times New Roman"/>
          <w:i/>
          <w:iCs/>
          <w:szCs w:val="24"/>
          <w:lang w:eastAsia="es-CO"/>
        </w:rPr>
        <w:t xml:space="preserve"> de los artículos 101 y 102 del Código Sustantivo de trabajo, según los cuales los contratos con los docentes se entendían celebrados por el año escolar, lo que llevaba en la práctica a tratarse como una prestación de servicios. Al respecto, la Corte manifestó:</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xml:space="preserve">`... como es bien sabido, el contrato de trabajo tiene elementos diferentes al de prestación de servicios independientes. En efecto, </w:t>
      </w:r>
      <w:r w:rsidRPr="00FB45B1">
        <w:rPr>
          <w:rFonts w:eastAsia="Times New Roman"/>
          <w:b/>
          <w:bCs/>
          <w:i/>
          <w:iCs/>
          <w:szCs w:val="24"/>
          <w:lang w:eastAsia="es-CO"/>
        </w:rPr>
        <w:t>para que aquél se configure se requiere la existencia de la prestación personal del servicio, la continuada subordinación laboral y la remuneración como contraprestación del mismo</w:t>
      </w:r>
      <w:r w:rsidRPr="00FB45B1">
        <w:rPr>
          <w:rFonts w:eastAsia="Times New Roman"/>
          <w:i/>
          <w:iCs/>
          <w:szCs w:val="24"/>
          <w:lang w:eastAsia="es-CO"/>
        </w:rPr>
        <w:t xml:space="preserve">. En cambio, en el contrato de prestación de servicios, </w:t>
      </w:r>
      <w:r w:rsidRPr="00FB45B1">
        <w:rPr>
          <w:rFonts w:eastAsia="Times New Roman"/>
          <w:b/>
          <w:bCs/>
          <w:i/>
          <w:iCs/>
          <w:szCs w:val="24"/>
          <w:lang w:eastAsia="es-CO"/>
        </w:rPr>
        <w:t>la actividad independiente desarrollada, puede provenir de una persona jurídica con la que no existe el elemento de subordinación laboral o dependencia consistente en la potestad de impartir órdenes en la ejecución de la labor contratada</w:t>
      </w:r>
      <w:r w:rsidRPr="00FB45B1">
        <w:rPr>
          <w:rFonts w:eastAsia="Times New Roman"/>
          <w:i/>
          <w:iCs/>
          <w:szCs w:val="24"/>
          <w:lang w:eastAsia="es-CO"/>
        </w:rPr>
        <w:t>.....</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en caso de que se acredite la existencia de un trabajo subordinado o dependiente consistente en la actitud por parte de la administración contratante de impartir órdenes a quien preste el servicio con respecto a la ejecución de la labor contratada, así como la fijación de horario de trabajo para la prestación del servicio, se tipifica el contrato de trabajo con derecho al pago de prestaciones sociales, así se le haya dado la denominación de un contrato de prestación de servicios´." (</w:t>
      </w:r>
      <w:proofErr w:type="gramStart"/>
      <w:r w:rsidRPr="00FB45B1">
        <w:rPr>
          <w:rFonts w:eastAsia="Times New Roman"/>
          <w:i/>
          <w:iCs/>
          <w:szCs w:val="24"/>
          <w:lang w:eastAsia="es-CO"/>
        </w:rPr>
        <w:t>sic</w:t>
      </w:r>
      <w:proofErr w:type="gramEnd"/>
      <w:r w:rsidRPr="00FB45B1">
        <w:rPr>
          <w:rFonts w:eastAsia="Times New Roman"/>
          <w:i/>
          <w:iCs/>
          <w:szCs w:val="24"/>
          <w:lang w:eastAsia="es-CO"/>
        </w:rPr>
        <w:t xml:space="preserve">) </w:t>
      </w:r>
      <w:r w:rsidRPr="00FB45B1">
        <w:rPr>
          <w:rFonts w:eastAsia="Times New Roman"/>
          <w:szCs w:val="24"/>
          <w:lang w:eastAsia="es-CO"/>
        </w:rPr>
        <w:t>(</w:t>
      </w:r>
      <w:proofErr w:type="gramStart"/>
      <w:r w:rsidRPr="00FB45B1">
        <w:rPr>
          <w:rFonts w:eastAsia="Times New Roman"/>
          <w:szCs w:val="24"/>
          <w:lang w:eastAsia="es-CO"/>
        </w:rPr>
        <w:t>negrilla</w:t>
      </w:r>
      <w:proofErr w:type="gramEnd"/>
      <w:r w:rsidRPr="00FB45B1">
        <w:rPr>
          <w:rFonts w:eastAsia="Times New Roman"/>
          <w:szCs w:val="24"/>
          <w:lang w:eastAsia="es-CO"/>
        </w:rPr>
        <w:t xml:space="preserve"> fuera de texto)</w:t>
      </w:r>
      <w:r w:rsidRPr="00FB45B1">
        <w:rPr>
          <w:rFonts w:eastAsia="Times New Roman"/>
          <w:iCs/>
          <w:szCs w:val="24"/>
          <w:lang w:eastAsia="es-CO"/>
        </w:rPr>
        <w:t>.</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xml:space="preserve">2. </w:t>
      </w:r>
      <w:r w:rsidRPr="00FB45B1">
        <w:rPr>
          <w:rFonts w:eastAsia="Times New Roman"/>
          <w:i/>
          <w:iCs/>
          <w:szCs w:val="24"/>
          <w:lang w:eastAsia="es-CO"/>
        </w:rPr>
        <w:t>“Si son catalogados como trabajadores para efectos tributarios las personas que ejercen profesiones liberales, ¿Es empleado el abogado que presta el servicio de dependencia judicial?”</w:t>
      </w:r>
    </w:p>
    <w:p w:rsidR="00A357B6" w:rsidRPr="00FB45B1" w:rsidRDefault="00A357B6" w:rsidP="00A357B6">
      <w:pPr>
        <w:spacing w:line="240" w:lineRule="auto"/>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El Oficio No. 017857 de 2013 es palmario al expresar:</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“1) Empleado</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A357B6" w:rsidRPr="00FB45B1" w:rsidRDefault="00A357B6" w:rsidP="00A357B6">
      <w:pPr>
        <w:spacing w:line="240" w:lineRule="auto"/>
        <w:rPr>
          <w:rFonts w:eastAsia="Times New Roman"/>
          <w:i/>
          <w:iCs/>
          <w:szCs w:val="24"/>
          <w:lang w:eastAsia="es-CO"/>
        </w:rPr>
      </w:pP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lastRenderedPageBreak/>
        <w:t xml:space="preserve">Igualmente </w:t>
      </w:r>
      <w:r w:rsidRPr="00FB45B1">
        <w:rPr>
          <w:rFonts w:eastAsia="Times New Roman"/>
          <w:b/>
          <w:bCs/>
          <w:i/>
          <w:iCs/>
          <w:szCs w:val="24"/>
          <w:lang w:eastAsia="es-CO"/>
        </w:rPr>
        <w:t>pertenecen a la categoría de empleado las personas naturales residentes en el país que presten servicios en ejercicio de profesiones liberales</w:t>
      </w:r>
      <w:r w:rsidRPr="00FB45B1">
        <w:rPr>
          <w:rFonts w:eastAsia="Times New Roman"/>
          <w:i/>
          <w:iCs/>
          <w:szCs w:val="24"/>
          <w:lang w:eastAsia="es-CO"/>
        </w:rPr>
        <w:t xml:space="preserve"> o que presten servicios técnicos que no requieran la utilización de materiales o insumos especializados o de maquinaria especializada, siempre que el ochenta por ciento (80%) o más de sus ingresos provengan del ejercicio de dicha actividad.” </w:t>
      </w:r>
      <w:r w:rsidRPr="00FB45B1">
        <w:rPr>
          <w:rFonts w:eastAsia="Times New Roman"/>
          <w:szCs w:val="24"/>
          <w:lang w:eastAsia="es-CO"/>
        </w:rPr>
        <w:t>(</w:t>
      </w:r>
      <w:proofErr w:type="gramStart"/>
      <w:r w:rsidRPr="00FB45B1">
        <w:rPr>
          <w:rFonts w:eastAsia="Times New Roman"/>
          <w:szCs w:val="24"/>
          <w:lang w:eastAsia="es-CO"/>
        </w:rPr>
        <w:t>negrilla</w:t>
      </w:r>
      <w:proofErr w:type="gramEnd"/>
      <w:r w:rsidRPr="00FB45B1">
        <w:rPr>
          <w:rFonts w:eastAsia="Times New Roman"/>
          <w:szCs w:val="24"/>
          <w:lang w:eastAsia="es-CO"/>
        </w:rPr>
        <w:t xml:space="preserve"> fuera de texto)</w:t>
      </w:r>
      <w:r w:rsidRPr="00FB45B1">
        <w:rPr>
          <w:rFonts w:eastAsia="Times New Roman"/>
          <w:iCs/>
          <w:szCs w:val="24"/>
          <w:lang w:eastAsia="es-CO"/>
        </w:rPr>
        <w:t>.</w:t>
      </w:r>
    </w:p>
    <w:p w:rsidR="00A357B6" w:rsidRPr="00FB45B1" w:rsidRDefault="00A357B6" w:rsidP="00A357B6">
      <w:pPr>
        <w:spacing w:line="240" w:lineRule="auto"/>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xml:space="preserve">Ahora bien, el artículo 25 del Decreto 3050 de 1997 define el vocablo profesión liberal como aquella </w:t>
      </w:r>
      <w:r w:rsidRPr="00FB45B1">
        <w:rPr>
          <w:rFonts w:eastAsia="Times New Roman"/>
          <w:i/>
          <w:iCs/>
          <w:szCs w:val="24"/>
          <w:lang w:eastAsia="es-CO"/>
        </w:rPr>
        <w:t>“actividad en la cual predomina el ejercicio del intelecto, reconocida por el Estado y para cuyo ejercicio se requiere la habilitación a través de un título académico”</w:t>
      </w:r>
      <w:r w:rsidRPr="00FB45B1">
        <w:rPr>
          <w:rFonts w:eastAsia="Times New Roman"/>
          <w:szCs w:val="24"/>
          <w:lang w:eastAsia="es-CO"/>
        </w:rPr>
        <w:t>, por lo cual, no cabe duda que el ejercicio de la abogacía corresponde a tal categoría.</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xml:space="preserve">Así las cosas, para efectos del impuesto sobre la renta y complementarios, se clasifica como empleado el abogado que preste sus servicios como dependiente judicial, siempre y cuando </w:t>
      </w:r>
      <w:r w:rsidRPr="00FB45B1">
        <w:rPr>
          <w:rFonts w:eastAsia="Times New Roman"/>
          <w:i/>
          <w:iCs/>
          <w:szCs w:val="24"/>
          <w:lang w:eastAsia="es-CO"/>
        </w:rPr>
        <w:t>“sus ingresos correspondan en un porcentaje igual o superior a (80%) al ejercicio de dichas actividades”</w:t>
      </w:r>
      <w:r w:rsidRPr="00FB45B1">
        <w:rPr>
          <w:rFonts w:eastAsia="Times New Roman"/>
          <w:szCs w:val="24"/>
          <w:lang w:eastAsia="es-CO"/>
        </w:rPr>
        <w:t>, independientemente del carácter de la vinculación.</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xml:space="preserve">3. </w:t>
      </w:r>
      <w:r w:rsidRPr="00FB45B1">
        <w:rPr>
          <w:rFonts w:eastAsia="Times New Roman"/>
          <w:i/>
          <w:iCs/>
          <w:szCs w:val="24"/>
          <w:lang w:eastAsia="es-CO"/>
        </w:rPr>
        <w:t>“Si los ingresos del abogado que presta servicio de dependencia judicial, no provienen por cuenta de esa específica labor en una proporción igual o superior al 80%, ¿Es empleado para efectos tributarios?</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O dicho de manera contraria, si esos ingresos por la dependencia judicial son inferiores al 80% de sus ingresos, ¿Es empleado para efectos tributarios?”</w:t>
      </w:r>
    </w:p>
    <w:p w:rsidR="00A357B6" w:rsidRPr="00FB45B1" w:rsidRDefault="00A357B6" w:rsidP="00A357B6">
      <w:pPr>
        <w:spacing w:line="240" w:lineRule="auto"/>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xml:space="preserve">Sobre el particular y conforme se desprende del Oficio No. 050180 del 13 de agosto de 2013 que también le fuera remitido, si los ingresos provenientes del servicio como dependiente judicial son inferiores al 80% del total de las ganancias – es decir, no es posible clasificar a la persona natural como empleado para efectos tributarios – es menester examinar si las entradas económicas provienen </w:t>
      </w:r>
      <w:r w:rsidRPr="00FB45B1">
        <w:rPr>
          <w:rFonts w:eastAsia="Times New Roman"/>
          <w:i/>
          <w:iCs/>
          <w:szCs w:val="24"/>
          <w:lang w:eastAsia="es-CO"/>
        </w:rPr>
        <w:t xml:space="preserve">“en una proporción igual o superior a un ochenta por ciento (80%) de la realización de una de las actividades económicas señaladas en el Capítulo II del Título V del Libro I del Estatuto Tributario”, </w:t>
      </w:r>
      <w:r w:rsidRPr="00FB45B1">
        <w:rPr>
          <w:rFonts w:eastAsia="Times New Roman"/>
          <w:szCs w:val="24"/>
          <w:lang w:eastAsia="es-CO"/>
        </w:rPr>
        <w:t xml:space="preserve">acorde al </w:t>
      </w:r>
      <w:hyperlink r:id="rId8" w:tooltip="Estatuto Tributario CETA" w:history="1">
        <w:r w:rsidRPr="00FB45B1">
          <w:rPr>
            <w:rFonts w:eastAsia="Times New Roman"/>
            <w:szCs w:val="24"/>
            <w:u w:val="single"/>
            <w:lang w:eastAsia="es-CO"/>
          </w:rPr>
          <w:t>artículo 329</w:t>
        </w:r>
      </w:hyperlink>
      <w:r w:rsidRPr="00FB45B1">
        <w:rPr>
          <w:rFonts w:eastAsia="Times New Roman"/>
          <w:szCs w:val="24"/>
          <w:lang w:eastAsia="es-CO"/>
        </w:rPr>
        <w:t xml:space="preserve"> </w:t>
      </w:r>
      <w:r w:rsidRPr="00FB45B1">
        <w:rPr>
          <w:rFonts w:eastAsia="Times New Roman"/>
          <w:i/>
          <w:iCs/>
          <w:szCs w:val="24"/>
          <w:lang w:eastAsia="es-CO"/>
        </w:rPr>
        <w:t>ibídem</w:t>
      </w:r>
      <w:r w:rsidRPr="00FB45B1">
        <w:rPr>
          <w:rFonts w:eastAsia="Times New Roman"/>
          <w:szCs w:val="24"/>
          <w:lang w:eastAsia="es-CO"/>
        </w:rPr>
        <w:t>, con el propósito de determinar su posible encasillamiento como trabajador por cuenta propia.</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En el evento de no encajar en éste último, resta la última clasificación tributaria, esto es, “Otros contribuyentes” de la cual se explicó en el comentado Oficio:</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i/>
          <w:iCs/>
          <w:szCs w:val="24"/>
          <w:lang w:eastAsia="es-CO"/>
        </w:rPr>
        <w:t xml:space="preserve">“A esta categoría tributaria pertenecen, entre otros, </w:t>
      </w:r>
      <w:r w:rsidRPr="00FB45B1">
        <w:rPr>
          <w:rFonts w:eastAsia="Times New Roman"/>
          <w:b/>
          <w:bCs/>
          <w:i/>
          <w:iCs/>
          <w:szCs w:val="24"/>
          <w:lang w:eastAsia="es-CO"/>
        </w:rPr>
        <w:t>las personas naturales residentes en el país que no clasifiquen dentro de las categorías de empleado o trabajador por cuenta propia</w:t>
      </w:r>
      <w:r w:rsidRPr="00FB45B1">
        <w:rPr>
          <w:rFonts w:eastAsia="Times New Roman"/>
          <w:i/>
          <w:iCs/>
          <w:szCs w:val="24"/>
          <w:lang w:eastAsia="es-CO"/>
        </w:rPr>
        <w:t xml:space="preserve">, los pensionados que en virtud de sus demás ingresos no deban clasificarse en las categorías anteriores, los notarios (Decreto Ley 960 de 1970) y los servidores públicos diplomáticos, consulares y administrativos del Ministerio de Relaciones exteriores a que se refiere el </w:t>
      </w:r>
      <w:hyperlink r:id="rId9" w:tooltip="Estatuto Tributario CETA" w:history="1">
        <w:r w:rsidRPr="00FB45B1">
          <w:rPr>
            <w:rFonts w:eastAsia="Times New Roman"/>
            <w:i/>
            <w:iCs/>
            <w:szCs w:val="24"/>
            <w:u w:val="single"/>
            <w:lang w:eastAsia="es-CO"/>
          </w:rPr>
          <w:t>artículo 206-1</w:t>
        </w:r>
      </w:hyperlink>
      <w:r w:rsidRPr="00FB45B1">
        <w:rPr>
          <w:rFonts w:eastAsia="Times New Roman"/>
          <w:i/>
          <w:iCs/>
          <w:szCs w:val="24"/>
          <w:lang w:eastAsia="es-CO"/>
        </w:rPr>
        <w:t xml:space="preserve"> del Estatuto Tributario." </w:t>
      </w:r>
      <w:r w:rsidRPr="00FB45B1">
        <w:rPr>
          <w:rFonts w:eastAsia="Times New Roman"/>
          <w:szCs w:val="24"/>
          <w:lang w:eastAsia="es-CO"/>
        </w:rPr>
        <w:t>(</w:t>
      </w:r>
      <w:proofErr w:type="gramStart"/>
      <w:r w:rsidRPr="00FB45B1">
        <w:rPr>
          <w:rFonts w:eastAsia="Times New Roman"/>
          <w:szCs w:val="24"/>
          <w:lang w:eastAsia="es-CO"/>
        </w:rPr>
        <w:t>negrilla</w:t>
      </w:r>
      <w:proofErr w:type="gramEnd"/>
      <w:r w:rsidRPr="00FB45B1">
        <w:rPr>
          <w:rFonts w:eastAsia="Times New Roman"/>
          <w:szCs w:val="24"/>
          <w:lang w:eastAsia="es-CO"/>
        </w:rPr>
        <w:t xml:space="preserve"> fuera de texto).</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ind w:left="284"/>
        <w:rPr>
          <w:rFonts w:eastAsia="Times New Roman"/>
          <w:szCs w:val="24"/>
          <w:lang w:eastAsia="es-CO"/>
        </w:rPr>
      </w:pPr>
      <w:r w:rsidRPr="00FB45B1">
        <w:rPr>
          <w:rFonts w:eastAsia="Times New Roman"/>
          <w:szCs w:val="24"/>
          <w:lang w:eastAsia="es-CO"/>
        </w:rPr>
        <w:t xml:space="preserve">4. </w:t>
      </w:r>
      <w:r w:rsidRPr="00FB45B1">
        <w:rPr>
          <w:rFonts w:eastAsia="Times New Roman"/>
          <w:i/>
          <w:iCs/>
          <w:szCs w:val="24"/>
          <w:lang w:eastAsia="es-CO"/>
        </w:rPr>
        <w:t xml:space="preserve">“El decreto 1070 del año 2013, obliga a presentar la planilla de pago de seguridad social a las personas que sean o no empleados para efectos tributarios, cuyos ingresos </w:t>
      </w:r>
      <w:r w:rsidRPr="00FB45B1">
        <w:rPr>
          <w:rFonts w:eastAsia="Times New Roman"/>
          <w:b/>
          <w:bCs/>
          <w:i/>
          <w:iCs/>
          <w:szCs w:val="24"/>
          <w:u w:val="single"/>
          <w:lang w:eastAsia="es-CO"/>
        </w:rPr>
        <w:lastRenderedPageBreak/>
        <w:t>NO</w:t>
      </w:r>
      <w:r w:rsidRPr="00FB45B1">
        <w:rPr>
          <w:rFonts w:eastAsia="Times New Roman"/>
          <w:i/>
          <w:iCs/>
          <w:szCs w:val="24"/>
          <w:lang w:eastAsia="es-CO"/>
        </w:rPr>
        <w:t xml:space="preserve"> provengan de una relación legal o reglamentaria. Es decir, las personas cuyos ingresos </w:t>
      </w:r>
      <w:r w:rsidRPr="00FB45B1">
        <w:rPr>
          <w:rFonts w:eastAsia="Times New Roman"/>
          <w:b/>
          <w:bCs/>
          <w:i/>
          <w:iCs/>
          <w:szCs w:val="24"/>
          <w:u w:val="single"/>
          <w:lang w:eastAsia="es-CO"/>
        </w:rPr>
        <w:t>SÍ</w:t>
      </w:r>
      <w:r w:rsidRPr="00FB45B1">
        <w:rPr>
          <w:rFonts w:eastAsia="Times New Roman"/>
          <w:i/>
          <w:iCs/>
          <w:szCs w:val="24"/>
          <w:lang w:eastAsia="es-CO"/>
        </w:rPr>
        <w:t xml:space="preserve"> provienen de una relación legal o reglamentaria, ¿deben pagar seguridad social en los términos del decreto 1070?”</w:t>
      </w:r>
    </w:p>
    <w:p w:rsidR="00A357B6" w:rsidRPr="00FB45B1" w:rsidRDefault="00A357B6" w:rsidP="00A357B6">
      <w:pPr>
        <w:spacing w:line="240" w:lineRule="auto"/>
        <w:rPr>
          <w:rFonts w:eastAsia="Times New Roman"/>
          <w:szCs w:val="24"/>
          <w:lang w:eastAsia="es-CO"/>
        </w:rPr>
      </w:pPr>
      <w:r w:rsidRPr="00FB45B1">
        <w:rPr>
          <w:rFonts w:eastAsia="Times New Roman"/>
          <w:i/>
          <w:iCs/>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xml:space="preserve">El artículo 3° del Decreto 1070 de 2013 dispone que </w:t>
      </w:r>
      <w:r w:rsidRPr="00FB45B1">
        <w:rPr>
          <w:rFonts w:eastAsia="Times New Roman"/>
          <w:i/>
          <w:iCs/>
          <w:szCs w:val="24"/>
          <w:lang w:eastAsia="es-CO"/>
        </w:rPr>
        <w:t xml:space="preserve">“la disminución de la base de retención para las personas naturales residentes cuyos ingresos no provengan de una relación laboral, o legal y reglamentaria, </w:t>
      </w:r>
      <w:r w:rsidRPr="00FB45B1">
        <w:rPr>
          <w:rFonts w:eastAsia="Times New Roman"/>
          <w:b/>
          <w:bCs/>
          <w:i/>
          <w:iCs/>
          <w:szCs w:val="24"/>
          <w:lang w:eastAsia="es-CO"/>
        </w:rPr>
        <w:t>por concepto de contribuciones al Sistema General de Seguridad Social</w:t>
      </w:r>
      <w:r w:rsidRPr="00FB45B1">
        <w:rPr>
          <w:rFonts w:eastAsia="Times New Roman"/>
          <w:i/>
          <w:iCs/>
          <w:szCs w:val="24"/>
          <w:lang w:eastAsia="es-CO"/>
        </w:rPr>
        <w:t xml:space="preserve">, pertenezcan o no a la categoría de empleados, estará condicionada a su pago en debida forma, para lo cual se adjuntará a la respectiva factura o documento equivalente copia de la planilla o documento de pago” </w:t>
      </w:r>
      <w:r w:rsidRPr="00FB45B1">
        <w:rPr>
          <w:rFonts w:eastAsia="Times New Roman"/>
          <w:szCs w:val="24"/>
          <w:lang w:eastAsia="es-CO"/>
        </w:rPr>
        <w:t>(negrilla fuera de texto).</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5744BF" w:rsidRDefault="00A357B6" w:rsidP="00A357B6">
      <w:pPr>
        <w:spacing w:line="240" w:lineRule="auto"/>
        <w:rPr>
          <w:rFonts w:eastAsia="Times New Roman"/>
          <w:b/>
          <w:sz w:val="28"/>
          <w:szCs w:val="28"/>
          <w:lang w:eastAsia="es-CO"/>
        </w:rPr>
      </w:pPr>
      <w:r w:rsidRPr="005744BF">
        <w:rPr>
          <w:rFonts w:eastAsia="Times New Roman"/>
          <w:b/>
          <w:sz w:val="28"/>
          <w:szCs w:val="28"/>
          <w:lang w:eastAsia="es-CO"/>
        </w:rPr>
        <w:t xml:space="preserve">A contrario sensu, si los ingresos provienen de una relación laboral, o legal y reglamentaria, no se exige de la persona natural adjuntar </w:t>
      </w:r>
      <w:r w:rsidRPr="005744BF">
        <w:rPr>
          <w:rFonts w:eastAsia="Times New Roman"/>
          <w:b/>
          <w:i/>
          <w:iCs/>
          <w:sz w:val="28"/>
          <w:szCs w:val="28"/>
          <w:lang w:eastAsia="es-CO"/>
        </w:rPr>
        <w:t>“la respectiva factura o documento equivalente copia de la planilla o documento de pago”</w:t>
      </w:r>
      <w:r w:rsidRPr="005744BF">
        <w:rPr>
          <w:rFonts w:eastAsia="Times New Roman"/>
          <w:b/>
          <w:sz w:val="28"/>
          <w:szCs w:val="28"/>
          <w:lang w:eastAsia="es-CO"/>
        </w:rPr>
        <w:t xml:space="preserve"> con miras a la disminución de la base de retención.</w:t>
      </w:r>
    </w:p>
    <w:p w:rsidR="00A357B6" w:rsidRPr="005744BF" w:rsidRDefault="00A357B6" w:rsidP="00A357B6">
      <w:pPr>
        <w:spacing w:line="240" w:lineRule="auto"/>
        <w:ind w:left="284"/>
        <w:rPr>
          <w:rFonts w:eastAsia="Times New Roman"/>
          <w:b/>
          <w:sz w:val="28"/>
          <w:szCs w:val="28"/>
          <w:lang w:eastAsia="es-CO"/>
        </w:rPr>
      </w:pPr>
      <w:r w:rsidRPr="005744BF">
        <w:rPr>
          <w:rFonts w:eastAsia="Times New Roman"/>
          <w:b/>
          <w:sz w:val="28"/>
          <w:szCs w:val="28"/>
          <w:lang w:eastAsia="es-CO"/>
        </w:rPr>
        <w:t> </w:t>
      </w:r>
      <w:bookmarkStart w:id="0" w:name="_GoBack"/>
      <w:bookmarkEnd w:id="0"/>
    </w:p>
    <w:p w:rsidR="00A357B6" w:rsidRPr="005744BF" w:rsidRDefault="00A357B6" w:rsidP="00A357B6">
      <w:pPr>
        <w:spacing w:line="240" w:lineRule="auto"/>
        <w:ind w:left="284"/>
        <w:rPr>
          <w:rFonts w:eastAsia="Times New Roman"/>
          <w:b/>
          <w:sz w:val="28"/>
          <w:szCs w:val="28"/>
          <w:lang w:eastAsia="es-CO"/>
        </w:rPr>
      </w:pPr>
      <w:r w:rsidRPr="005744BF">
        <w:rPr>
          <w:rFonts w:eastAsia="Times New Roman"/>
          <w:b/>
          <w:sz w:val="28"/>
          <w:szCs w:val="28"/>
          <w:lang w:eastAsia="es-CO"/>
        </w:rPr>
        <w:t xml:space="preserve">5. </w:t>
      </w:r>
      <w:r w:rsidRPr="005744BF">
        <w:rPr>
          <w:rFonts w:eastAsia="Times New Roman"/>
          <w:b/>
          <w:i/>
          <w:iCs/>
          <w:sz w:val="28"/>
          <w:szCs w:val="28"/>
          <w:lang w:eastAsia="es-CO"/>
        </w:rPr>
        <w:t>“Si definitivamente la respuesta es que hay que pagar la seguridad social, se formula el siguiente interrogante:</w:t>
      </w:r>
    </w:p>
    <w:p w:rsidR="00A357B6" w:rsidRPr="005744BF" w:rsidRDefault="00A357B6" w:rsidP="00A357B6">
      <w:pPr>
        <w:spacing w:line="240" w:lineRule="auto"/>
        <w:ind w:left="284"/>
        <w:rPr>
          <w:rFonts w:eastAsia="Times New Roman"/>
          <w:b/>
          <w:sz w:val="28"/>
          <w:szCs w:val="28"/>
          <w:lang w:eastAsia="es-CO"/>
        </w:rPr>
      </w:pPr>
      <w:r w:rsidRPr="005744BF">
        <w:rPr>
          <w:rFonts w:eastAsia="Times New Roman"/>
          <w:b/>
          <w:sz w:val="28"/>
          <w:szCs w:val="28"/>
          <w:lang w:eastAsia="es-CO"/>
        </w:rPr>
        <w:t> </w:t>
      </w:r>
    </w:p>
    <w:p w:rsidR="00A357B6" w:rsidRPr="005744BF" w:rsidRDefault="00A357B6" w:rsidP="00A357B6">
      <w:pPr>
        <w:spacing w:line="240" w:lineRule="auto"/>
        <w:ind w:left="284"/>
        <w:rPr>
          <w:rFonts w:eastAsia="Times New Roman"/>
          <w:b/>
          <w:sz w:val="28"/>
          <w:szCs w:val="28"/>
          <w:lang w:eastAsia="es-CO"/>
        </w:rPr>
      </w:pPr>
      <w:r w:rsidRPr="005744BF">
        <w:rPr>
          <w:rFonts w:eastAsia="Times New Roman"/>
          <w:b/>
          <w:i/>
          <w:iCs/>
          <w:sz w:val="28"/>
          <w:szCs w:val="28"/>
          <w:lang w:eastAsia="es-CO"/>
        </w:rPr>
        <w:t>El segundo inciso del artículo 3 del decreto 1070 mentado, remite para efectos del pago a seguridad social como él lo describe, al artículo 18 de la ley 1122 del año 2007 y esta norma se refiere únicamente al pago al régimen en salud.</w:t>
      </w:r>
    </w:p>
    <w:p w:rsidR="00A357B6" w:rsidRPr="005744BF" w:rsidRDefault="00A357B6" w:rsidP="00A357B6">
      <w:pPr>
        <w:spacing w:line="240" w:lineRule="auto"/>
        <w:ind w:left="284"/>
        <w:rPr>
          <w:rFonts w:eastAsia="Times New Roman"/>
          <w:b/>
          <w:sz w:val="28"/>
          <w:szCs w:val="28"/>
          <w:lang w:eastAsia="es-CO"/>
        </w:rPr>
      </w:pPr>
      <w:r w:rsidRPr="005744BF">
        <w:rPr>
          <w:rFonts w:eastAsia="Times New Roman"/>
          <w:b/>
          <w:i/>
          <w:iCs/>
          <w:sz w:val="28"/>
          <w:szCs w:val="28"/>
          <w:lang w:eastAsia="es-CO"/>
        </w:rPr>
        <w:t> </w:t>
      </w:r>
    </w:p>
    <w:p w:rsidR="00A357B6" w:rsidRPr="005744BF" w:rsidRDefault="00A357B6" w:rsidP="00A357B6">
      <w:pPr>
        <w:spacing w:line="240" w:lineRule="auto"/>
        <w:ind w:left="284"/>
        <w:rPr>
          <w:rFonts w:eastAsia="Times New Roman"/>
          <w:b/>
          <w:sz w:val="28"/>
          <w:szCs w:val="28"/>
          <w:lang w:eastAsia="es-CO"/>
        </w:rPr>
      </w:pPr>
      <w:r w:rsidRPr="005744BF">
        <w:rPr>
          <w:rFonts w:eastAsia="Times New Roman"/>
          <w:b/>
          <w:i/>
          <w:iCs/>
          <w:sz w:val="28"/>
          <w:szCs w:val="28"/>
          <w:lang w:eastAsia="es-CO"/>
        </w:rPr>
        <w:t>¿Puede el abogado del que se habla, cotizar solamente al régimen en salud? O para mejor entendimiento ¿Se entiende que se excluye el pago a pensiones?”</w:t>
      </w:r>
    </w:p>
    <w:p w:rsidR="00A357B6" w:rsidRPr="005744BF" w:rsidRDefault="00A357B6" w:rsidP="00A357B6">
      <w:pPr>
        <w:spacing w:line="240" w:lineRule="auto"/>
        <w:rPr>
          <w:rFonts w:eastAsia="Times New Roman"/>
          <w:b/>
          <w:sz w:val="28"/>
          <w:szCs w:val="28"/>
          <w:lang w:eastAsia="es-CO"/>
        </w:rPr>
      </w:pPr>
      <w:r w:rsidRPr="005744BF">
        <w:rPr>
          <w:rFonts w:eastAsia="Times New Roman"/>
          <w:b/>
          <w:i/>
          <w:iCs/>
          <w:sz w:val="28"/>
          <w:szCs w:val="28"/>
          <w:lang w:eastAsia="es-CO"/>
        </w:rPr>
        <w:t> </w:t>
      </w:r>
    </w:p>
    <w:p w:rsidR="00A357B6" w:rsidRPr="005744BF" w:rsidRDefault="00A357B6" w:rsidP="00A357B6">
      <w:pPr>
        <w:spacing w:line="240" w:lineRule="auto"/>
        <w:rPr>
          <w:rFonts w:eastAsia="Times New Roman"/>
          <w:b/>
          <w:sz w:val="28"/>
          <w:szCs w:val="28"/>
          <w:lang w:eastAsia="es-CO"/>
        </w:rPr>
      </w:pPr>
      <w:r w:rsidRPr="005744BF">
        <w:rPr>
          <w:rFonts w:eastAsia="Times New Roman"/>
          <w:b/>
          <w:sz w:val="28"/>
          <w:szCs w:val="28"/>
          <w:lang w:eastAsia="es-CO"/>
        </w:rPr>
        <w:t xml:space="preserve">Al respecto, es de recalcar que la autoridad competente para solucionar el interrogante planteado es la Oficina Asesora Jurídica del Ministerio del Trabajo, acorde a los artículos 2° y </w:t>
      </w:r>
      <w:r w:rsidR="005E7627" w:rsidRPr="005744BF">
        <w:rPr>
          <w:rFonts w:eastAsia="Times New Roman"/>
          <w:b/>
          <w:sz w:val="28"/>
          <w:szCs w:val="28"/>
          <w:lang w:eastAsia="es-CO"/>
        </w:rPr>
        <w:t xml:space="preserve"> </w:t>
      </w:r>
      <w:r w:rsidRPr="005744BF">
        <w:rPr>
          <w:rFonts w:eastAsia="Times New Roman"/>
          <w:b/>
          <w:sz w:val="28"/>
          <w:szCs w:val="28"/>
          <w:lang w:eastAsia="es-CO"/>
        </w:rPr>
        <w:t>8° numerales 11 y 12 del Decreto 4108 de 2011, a quien se despachará en lo pertinente la presente consulta.</w:t>
      </w:r>
    </w:p>
    <w:p w:rsidR="00A357B6" w:rsidRPr="005744BF" w:rsidRDefault="00A357B6" w:rsidP="00A357B6">
      <w:pPr>
        <w:spacing w:line="240" w:lineRule="auto"/>
        <w:rPr>
          <w:rFonts w:eastAsia="Times New Roman"/>
          <w:b/>
          <w:sz w:val="28"/>
          <w:szCs w:val="28"/>
          <w:lang w:eastAsia="es-CO"/>
        </w:rPr>
      </w:pPr>
      <w:r w:rsidRPr="005744BF">
        <w:rPr>
          <w:rFonts w:eastAsia="Times New Roman"/>
          <w:b/>
          <w:sz w:val="28"/>
          <w:szCs w:val="28"/>
          <w:lang w:eastAsia="es-CO"/>
        </w:rPr>
        <w:t> </w:t>
      </w:r>
    </w:p>
    <w:p w:rsidR="00A357B6" w:rsidRPr="005744BF" w:rsidRDefault="00A357B6" w:rsidP="00A357B6">
      <w:pPr>
        <w:spacing w:line="240" w:lineRule="auto"/>
        <w:rPr>
          <w:rFonts w:eastAsia="Times New Roman"/>
          <w:b/>
          <w:sz w:val="28"/>
          <w:szCs w:val="28"/>
          <w:lang w:eastAsia="es-CO"/>
        </w:rPr>
      </w:pPr>
      <w:r w:rsidRPr="005744BF">
        <w:rPr>
          <w:rFonts w:eastAsia="Times New Roman"/>
          <w:b/>
          <w:sz w:val="28"/>
          <w:szCs w:val="28"/>
          <w:lang w:eastAsia="es-CO"/>
        </w:rPr>
        <w:t>Atentamente,</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 </w:t>
      </w:r>
    </w:p>
    <w:p w:rsidR="00A357B6" w:rsidRPr="00FB45B1" w:rsidRDefault="00A357B6" w:rsidP="00A357B6">
      <w:pPr>
        <w:spacing w:line="240" w:lineRule="auto"/>
        <w:rPr>
          <w:rFonts w:eastAsia="Times New Roman"/>
          <w:szCs w:val="24"/>
          <w:lang w:eastAsia="es-CO"/>
        </w:rPr>
      </w:pPr>
      <w:r w:rsidRPr="00FB45B1">
        <w:rPr>
          <w:rFonts w:eastAsia="Times New Roman"/>
          <w:b/>
          <w:szCs w:val="24"/>
          <w:lang w:eastAsia="es-CO"/>
        </w:rPr>
        <w:t>LEONOR EUGENIA RUIZ DE VILLALOBOS</w:t>
      </w:r>
    </w:p>
    <w:p w:rsidR="00A357B6" w:rsidRPr="00FB45B1" w:rsidRDefault="00A357B6" w:rsidP="00A357B6">
      <w:pPr>
        <w:spacing w:line="240" w:lineRule="auto"/>
        <w:rPr>
          <w:rFonts w:eastAsia="Times New Roman"/>
          <w:szCs w:val="24"/>
          <w:lang w:eastAsia="es-CO"/>
        </w:rPr>
      </w:pPr>
      <w:r w:rsidRPr="00FB45B1">
        <w:rPr>
          <w:rFonts w:eastAsia="Times New Roman"/>
          <w:szCs w:val="24"/>
          <w:lang w:eastAsia="es-CO"/>
        </w:rPr>
        <w:t>Subdirectora de Gestión Normativa y Doctrina</w:t>
      </w:r>
    </w:p>
    <w:p w:rsidR="00B51D80" w:rsidRPr="00FB45B1" w:rsidRDefault="00B51D80">
      <w:pPr>
        <w:rPr>
          <w:szCs w:val="24"/>
        </w:rPr>
      </w:pPr>
    </w:p>
    <w:sectPr w:rsidR="00B51D80" w:rsidRPr="00FB45B1" w:rsidSect="00FB45B1">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B6"/>
    <w:rsid w:val="005744BF"/>
    <w:rsid w:val="005E7627"/>
    <w:rsid w:val="00A067C7"/>
    <w:rsid w:val="00A357B6"/>
    <w:rsid w:val="00B51D80"/>
    <w:rsid w:val="00FB4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0961">
      <w:bodyDiv w:val="1"/>
      <w:marLeft w:val="0"/>
      <w:marRight w:val="0"/>
      <w:marTop w:val="0"/>
      <w:marBottom w:val="0"/>
      <w:divBdr>
        <w:top w:val="none" w:sz="0" w:space="0" w:color="auto"/>
        <w:left w:val="none" w:sz="0" w:space="0" w:color="auto"/>
        <w:bottom w:val="none" w:sz="0" w:space="0" w:color="auto"/>
        <w:right w:val="none" w:sz="0" w:space="0" w:color="auto"/>
      </w:divBdr>
    </w:div>
    <w:div w:id="323245244">
      <w:bodyDiv w:val="1"/>
      <w:marLeft w:val="0"/>
      <w:marRight w:val="0"/>
      <w:marTop w:val="0"/>
      <w:marBottom w:val="0"/>
      <w:divBdr>
        <w:top w:val="none" w:sz="0" w:space="0" w:color="auto"/>
        <w:left w:val="none" w:sz="0" w:space="0" w:color="auto"/>
        <w:bottom w:val="none" w:sz="0" w:space="0" w:color="auto"/>
        <w:right w:val="none" w:sz="0" w:space="0" w:color="auto"/>
      </w:divBdr>
    </w:div>
    <w:div w:id="405340372">
      <w:bodyDiv w:val="1"/>
      <w:marLeft w:val="0"/>
      <w:marRight w:val="0"/>
      <w:marTop w:val="0"/>
      <w:marBottom w:val="0"/>
      <w:divBdr>
        <w:top w:val="none" w:sz="0" w:space="0" w:color="auto"/>
        <w:left w:val="none" w:sz="0" w:space="0" w:color="auto"/>
        <w:bottom w:val="none" w:sz="0" w:space="0" w:color="auto"/>
        <w:right w:val="none" w:sz="0" w:space="0" w:color="auto"/>
      </w:divBdr>
    </w:div>
    <w:div w:id="507601078">
      <w:bodyDiv w:val="1"/>
      <w:marLeft w:val="0"/>
      <w:marRight w:val="0"/>
      <w:marTop w:val="0"/>
      <w:marBottom w:val="0"/>
      <w:divBdr>
        <w:top w:val="none" w:sz="0" w:space="0" w:color="auto"/>
        <w:left w:val="none" w:sz="0" w:space="0" w:color="auto"/>
        <w:bottom w:val="none" w:sz="0" w:space="0" w:color="auto"/>
        <w:right w:val="none" w:sz="0" w:space="0" w:color="auto"/>
      </w:divBdr>
    </w:div>
    <w:div w:id="1234854824">
      <w:bodyDiv w:val="1"/>
      <w:marLeft w:val="0"/>
      <w:marRight w:val="0"/>
      <w:marTop w:val="0"/>
      <w:marBottom w:val="0"/>
      <w:divBdr>
        <w:top w:val="none" w:sz="0" w:space="0" w:color="auto"/>
        <w:left w:val="none" w:sz="0" w:space="0" w:color="auto"/>
        <w:bottom w:val="none" w:sz="0" w:space="0" w:color="auto"/>
        <w:right w:val="none" w:sz="0" w:space="0" w:color="auto"/>
      </w:divBdr>
    </w:div>
    <w:div w:id="1243026063">
      <w:bodyDiv w:val="1"/>
      <w:marLeft w:val="0"/>
      <w:marRight w:val="0"/>
      <w:marTop w:val="0"/>
      <w:marBottom w:val="0"/>
      <w:divBdr>
        <w:top w:val="none" w:sz="0" w:space="0" w:color="auto"/>
        <w:left w:val="none" w:sz="0" w:space="0" w:color="auto"/>
        <w:bottom w:val="none" w:sz="0" w:space="0" w:color="auto"/>
        <w:right w:val="none" w:sz="0" w:space="0" w:color="auto"/>
      </w:divBdr>
    </w:div>
    <w:div w:id="1303802272">
      <w:bodyDiv w:val="1"/>
      <w:marLeft w:val="0"/>
      <w:marRight w:val="0"/>
      <w:marTop w:val="0"/>
      <w:marBottom w:val="0"/>
      <w:divBdr>
        <w:top w:val="none" w:sz="0" w:space="0" w:color="auto"/>
        <w:left w:val="none" w:sz="0" w:space="0" w:color="auto"/>
        <w:bottom w:val="none" w:sz="0" w:space="0" w:color="auto"/>
        <w:right w:val="none" w:sz="0" w:space="0" w:color="auto"/>
      </w:divBdr>
    </w:div>
    <w:div w:id="1363020135">
      <w:bodyDiv w:val="1"/>
      <w:marLeft w:val="0"/>
      <w:marRight w:val="0"/>
      <w:marTop w:val="0"/>
      <w:marBottom w:val="0"/>
      <w:divBdr>
        <w:top w:val="none" w:sz="0" w:space="0" w:color="auto"/>
        <w:left w:val="none" w:sz="0" w:space="0" w:color="auto"/>
        <w:bottom w:val="none" w:sz="0" w:space="0" w:color="auto"/>
        <w:right w:val="none" w:sz="0" w:space="0" w:color="auto"/>
      </w:divBdr>
    </w:div>
    <w:div w:id="1584021984">
      <w:bodyDiv w:val="1"/>
      <w:marLeft w:val="0"/>
      <w:marRight w:val="0"/>
      <w:marTop w:val="0"/>
      <w:marBottom w:val="0"/>
      <w:divBdr>
        <w:top w:val="none" w:sz="0" w:space="0" w:color="auto"/>
        <w:left w:val="none" w:sz="0" w:space="0" w:color="auto"/>
        <w:bottom w:val="none" w:sz="0" w:space="0" w:color="auto"/>
        <w:right w:val="none" w:sz="0" w:space="0" w:color="auto"/>
      </w:divBdr>
    </w:div>
    <w:div w:id="1897086068">
      <w:bodyDiv w:val="1"/>
      <w:marLeft w:val="0"/>
      <w:marRight w:val="0"/>
      <w:marTop w:val="0"/>
      <w:marBottom w:val="0"/>
      <w:divBdr>
        <w:top w:val="none" w:sz="0" w:space="0" w:color="auto"/>
        <w:left w:val="none" w:sz="0" w:space="0" w:color="auto"/>
        <w:bottom w:val="none" w:sz="0" w:space="0" w:color="auto"/>
        <w:right w:val="none" w:sz="0" w:space="0" w:color="auto"/>
      </w:divBdr>
    </w:div>
    <w:div w:id="20744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08" TargetMode="External"/><Relationship Id="rId3" Type="http://schemas.openxmlformats.org/officeDocument/2006/relationships/settings" Target="settings.xml"/><Relationship Id="rId7" Type="http://schemas.openxmlformats.org/officeDocument/2006/relationships/hyperlink" Target="http://www.ceta.org.co/html/vista_de_un_articulo.asp?Norma=4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408" TargetMode="External"/><Relationship Id="rId11" Type="http://schemas.openxmlformats.org/officeDocument/2006/relationships/theme" Target="theme/theme1.xml"/><Relationship Id="rId5" Type="http://schemas.openxmlformats.org/officeDocument/2006/relationships/hyperlink" Target="mailto:danilodosquebradas@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299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2014-03-05T19:59:00Z</dcterms:created>
  <dcterms:modified xsi:type="dcterms:W3CDTF">2015-01-06T03:41:00Z</dcterms:modified>
</cp:coreProperties>
</file>